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8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2"/>
        <w:gridCol w:w="1306"/>
        <w:gridCol w:w="1173"/>
        <w:gridCol w:w="1276"/>
        <w:gridCol w:w="1276"/>
        <w:gridCol w:w="1376"/>
        <w:gridCol w:w="1370"/>
      </w:tblGrid>
      <w:tr>
        <w:trPr>
          <w:trHeight w:val="92" w:hRule="atLeast"/>
        </w:trPr>
        <w:tc>
          <w:tcPr>
            <w:tcW w:w="45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Product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45555F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color w:val="45555F"/>
                <w:sz w:val="20"/>
                <w:szCs w:val="20"/>
              </w:rPr>
              <w:t>Initial Commission (year 1)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45555F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color w:val="45555F"/>
                <w:sz w:val="20"/>
                <w:szCs w:val="20"/>
              </w:rPr>
              <w:t>Trail Commission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45555F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color w:val="45555F"/>
                <w:sz w:val="20"/>
                <w:szCs w:val="20"/>
              </w:rPr>
              <w:t>Renewal Commission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45555F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b/>
                <w:color w:val="45555F"/>
                <w:sz w:val="20"/>
                <w:szCs w:val="20"/>
              </w:rPr>
              <w:t>Other Commission</w:t>
            </w:r>
          </w:p>
        </w:tc>
      </w:tr>
      <w:tr>
        <w:trPr>
          <w:trHeight w:val="25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Unit Linked Pension Products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Pre-Retirement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(PP, PRSA, CP &amp; PRB)</w:t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Annual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>
                <w:rFonts w:ascii="Calibri" w:hAnsi="Calibri" w:cs="Arial" w:asciiTheme="minorHAnsi" w:hAnsiTheme="minorHAnsi"/>
                <w:color w:val="45555F"/>
                <w:sz w:val="6"/>
                <w:szCs w:val="18"/>
              </w:rPr>
            </w:pPr>
            <w:r>
              <w:rPr>
                <w:rFonts w:cs="Arial" w:ascii="Calibri" w:hAnsi="Calibri"/>
                <w:color w:val="45555F"/>
                <w:sz w:val="6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591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20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17.5%</w:t>
            </w:r>
          </w:p>
          <w:p>
            <w:pPr>
              <w:pStyle w:val="NormalWeb"/>
              <w:spacing w:lineRule="auto" w:line="240" w:beforeAutospacing="0" w:before="240" w:afterAutospacing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(1</w:t>
            </w: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  <w:vertAlign w:val="superscript"/>
              </w:rPr>
              <w:t>st</w:t>
            </w: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 xml:space="preserve"> Bullet)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0.5% trail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5%</w:t>
            </w:r>
          </w:p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 xml:space="preserve">17.5% </w:t>
            </w:r>
          </w:p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(Bullets X 3)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  <w:tr>
        <w:trPr>
          <w:trHeight w:val="50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Single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25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0.75%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  <w:tr>
        <w:trPr>
          <w:trHeight w:val="45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Unit Linked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Pension products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Post Retirement (ARF / AMRF)</w:t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br/>
              <w:t>Single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376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0.75%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  <w:tr>
        <w:trPr>
          <w:trHeight w:val="80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Guaranteed Annuity</w:t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Single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50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3%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50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Investment Bonds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Single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25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3%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0.5%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  <w:tr>
        <w:trPr>
          <w:trHeight w:val="29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Investment Only</w:t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Single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196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0.5%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  <w:tr>
        <w:trPr>
          <w:trHeight w:val="50" w:hRule="atLeast"/>
        </w:trPr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Savings Products</w:t>
            </w:r>
          </w:p>
        </w:tc>
        <w:tc>
          <w:tcPr>
            <w:tcW w:w="13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Annual Premium</w:t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</w:tc>
      </w:tr>
      <w:tr>
        <w:trPr>
          <w:trHeight w:val="979" w:hRule="atLeast"/>
        </w:trPr>
        <w:tc>
          <w:tcPr>
            <w:tcW w:w="2052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="0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/>
                <w:color w:val="FFFFFF" w:themeColor="background1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Arial" w:ascii="Calibri" w:hAnsi="Calibri" w:asciiTheme="minorHAnsi" w:hAnsiTheme="minorHAnsi"/>
                <w:color w:val="FFFFFF" w:themeColor="background1"/>
                <w:sz w:val="20"/>
                <w:szCs w:val="20"/>
              </w:rPr>
              <w:t>Max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5.5%</w:t>
            </w:r>
          </w:p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(1</w:t>
            </w: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  <w:vertAlign w:val="superscript"/>
              </w:rPr>
              <w:t>st</w:t>
            </w: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 xml:space="preserve"> Bullet)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0.25% trail to year 8, 0.5% trail from year 9</w:t>
            </w: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 xml:space="preserve">5.5% 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/>
                <w:color w:val="45555F"/>
                <w:sz w:val="18"/>
                <w:szCs w:val="18"/>
              </w:rPr>
            </w:r>
          </w:p>
          <w:p>
            <w:pPr>
              <w:pStyle w:val="NormalWeb"/>
              <w:spacing w:lineRule="auto" w:line="240" w:beforeAutospacing="0" w:before="0" w:after="20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Bullets X 3</w:t>
            </w:r>
          </w:p>
        </w:tc>
        <w:tc>
          <w:tcPr>
            <w:tcW w:w="1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Web"/>
              <w:spacing w:lineRule="auto" w:line="240" w:beforeAutospacing="0" w:before="0" w:after="0"/>
              <w:jc w:val="center"/>
              <w:rPr>
                <w:rFonts w:ascii="Calibri" w:hAnsi="Calibri" w:cs="Arial" w:asciiTheme="minorHAnsi" w:hAnsiTheme="minorHAnsi"/>
                <w:color w:val="45555F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color w:val="45555F"/>
                <w:sz w:val="18"/>
                <w:szCs w:val="18"/>
              </w:rPr>
              <w:t>N/A</w:t>
            </w:r>
          </w:p>
        </w:tc>
      </w:tr>
    </w:tbl>
    <w:p>
      <w:pPr>
        <w:pStyle w:val="Normal"/>
        <w:spacing w:lineRule="auto" w:line="240" w:before="480" w:after="120"/>
        <w:rPr>
          <w:b/>
          <w:b/>
          <w:sz w:val="2"/>
          <w:u w:val="single"/>
        </w:rPr>
      </w:pPr>
      <w:r>
        <w:rPr>
          <w:b/>
          <w:sz w:val="2"/>
          <w:u w:val="single"/>
        </w:rPr>
      </w:r>
    </w:p>
    <w:tbl>
      <w:tblPr>
        <w:tblW w:w="9806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4"/>
        <w:gridCol w:w="1441"/>
        <w:gridCol w:w="1467"/>
        <w:gridCol w:w="2204"/>
        <w:gridCol w:w="3130"/>
      </w:tblGrid>
      <w:tr>
        <w:trPr>
          <w:trHeight w:val="175" w:hRule="atLeast"/>
        </w:trPr>
        <w:tc>
          <w:tcPr>
            <w:tcW w:w="30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 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Yr1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Additional (annual)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Renewal (annual)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Protection</w:t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Option 1</w:t>
            </w:r>
          </w:p>
        </w:tc>
        <w:tc>
          <w:tcPr>
            <w:tcW w:w="14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100%</w:t>
            </w:r>
          </w:p>
        </w:tc>
        <w:tc>
          <w:tcPr>
            <w:tcW w:w="22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2 - 5: 20%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6: 3% level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</w:r>
          </w:p>
        </w:tc>
        <w:tc>
          <w:tcPr>
            <w:tcW w:w="1467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</w:r>
          </w:p>
        </w:tc>
        <w:tc>
          <w:tcPr>
            <w:tcW w:w="220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6: 6% indexed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Option 2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25% level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2 - 10: 25%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11: 10% level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28% indexed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2 - 10: 28%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11: 13% indexed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Option 3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20% level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2: 20% level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23% indexed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2: 23% indexed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Option 4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80% Level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2: 12% level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144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80% Indexed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2: 15% indexed</w:t>
            </w:r>
          </w:p>
        </w:tc>
      </w:tr>
      <w:tr>
        <w:trPr>
          <w:trHeight w:val="321" w:hRule="atLeast"/>
        </w:trPr>
        <w:tc>
          <w:tcPr>
            <w:tcW w:w="1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Default Profile</w:t>
            </w:r>
          </w:p>
        </w:tc>
        <w:tc>
          <w:tcPr>
            <w:tcW w:w="1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 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 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E"/>
              </w:rPr>
              <w:t> </w:t>
            </w:r>
          </w:p>
        </w:tc>
      </w:tr>
      <w:tr>
        <w:trPr>
          <w:trHeight w:val="175" w:hRule="atLeast"/>
        </w:trPr>
        <w:tc>
          <w:tcPr>
            <w:tcW w:w="30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 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Yr1</w:t>
            </w:r>
          </w:p>
        </w:tc>
        <w:tc>
          <w:tcPr>
            <w:tcW w:w="2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 xml:space="preserve">Additional 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Renewal (annual)</w:t>
            </w:r>
          </w:p>
        </w:tc>
      </w:tr>
      <w:tr>
        <w:trPr>
          <w:trHeight w:val="185" w:hRule="atLeast"/>
        </w:trPr>
        <w:tc>
          <w:tcPr>
            <w:tcW w:w="1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Income Protection</w:t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color w:val="FFFFFF" w:themeColor="background1"/>
                <w:lang w:eastAsia="en-IE"/>
              </w:rPr>
              <w:t>Max</w:t>
            </w:r>
          </w:p>
        </w:tc>
        <w:tc>
          <w:tcPr>
            <w:tcW w:w="14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120%</w:t>
            </w:r>
          </w:p>
        </w:tc>
        <w:tc>
          <w:tcPr>
            <w:tcW w:w="22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Year 3 &amp; Year 6: 30%</w:t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 xml:space="preserve">From Year 7: 3% level </w:t>
            </w:r>
          </w:p>
        </w:tc>
      </w:tr>
      <w:tr>
        <w:trPr>
          <w:trHeight w:val="175" w:hRule="atLeast"/>
        </w:trPr>
        <w:tc>
          <w:tcPr>
            <w:tcW w:w="156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IE"/>
              </w:rPr>
            </w:r>
          </w:p>
        </w:tc>
        <w:tc>
          <w:tcPr>
            <w:tcW w:w="1441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</w:r>
          </w:p>
        </w:tc>
        <w:tc>
          <w:tcPr>
            <w:tcW w:w="1467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</w:r>
          </w:p>
        </w:tc>
        <w:tc>
          <w:tcPr>
            <w:tcW w:w="2204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</w:r>
          </w:p>
        </w:tc>
        <w:tc>
          <w:tcPr>
            <w:tcW w:w="3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n-IE"/>
              </w:rPr>
            </w:pPr>
            <w:r>
              <w:rPr>
                <w:rFonts w:eastAsia="Times New Roman" w:cs="Calibri"/>
                <w:color w:val="000000"/>
                <w:lang w:eastAsia="en-IE"/>
              </w:rPr>
              <w:t>From Year 7: 6% indexed</w:t>
            </w:r>
          </w:p>
        </w:tc>
      </w:tr>
    </w:tbl>
    <w:p>
      <w:pPr>
        <w:pStyle w:val="Normal"/>
        <w:spacing w:lineRule="auto" w:line="240" w:before="480" w:after="120"/>
        <w:ind w:firstLine="720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Group Protection</w:t>
      </w:r>
    </w:p>
    <w:tbl>
      <w:tblPr>
        <w:tblStyle w:val="TableGrid"/>
        <w:tblW w:w="4307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5"/>
        <w:gridCol w:w="2251"/>
      </w:tblGrid>
      <w:tr>
        <w:trPr>
          <w:trHeight w:val="242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/>
              <w:t>Renewal commission</w:t>
            </w:r>
          </w:p>
        </w:tc>
      </w:tr>
      <w:tr>
        <w:trPr>
          <w:trHeight w:val="236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Life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Max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6%</w:t>
            </w:r>
          </w:p>
        </w:tc>
      </w:tr>
      <w:tr>
        <w:trPr>
          <w:trHeight w:val="236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Income protection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Max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12.5%</w:t>
            </w:r>
          </w:p>
        </w:tc>
      </w:tr>
      <w:tr>
        <w:trPr>
          <w:trHeight w:val="242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Serious Illness Cover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8064A2" w:themeFill="accent4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 w:themeColor="background1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n-IE"/>
              </w:rPr>
              <w:t>Max</w:t>
            </w:r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cBorders>
            <w:shd w:color="auto" w:fill="E5DFEC" w:themeFill="accent4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12.5%</w:t>
            </w:r>
          </w:p>
        </w:tc>
      </w:tr>
    </w:tbl>
    <w:p>
      <w:pPr>
        <w:pStyle w:val="Normal"/>
        <w:spacing w:lineRule="auto" w:line="240" w:before="12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49E58021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6647815" cy="372110"/>
              <wp:effectExtent l="0" t="0" r="1270" b="9525"/>
              <wp:wrapNone/>
              <wp:docPr id="2" name="Freeform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7040" cy="371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7187878" h="706055">
                            <a:moveTo>
                              <a:pt x="7187878" y="0"/>
                            </a:moveTo>
                            <a:lnTo>
                              <a:pt x="0" y="0"/>
                            </a:lnTo>
                            <a:lnTo>
                              <a:pt x="0" y="706055"/>
                            </a:lnTo>
                            <a:lnTo>
                              <a:pt x="6967959" y="694481"/>
                            </a:lnTo>
                            <a:lnTo>
                              <a:pt x="7187878" y="0"/>
                            </a:lnTo>
                            <a:close/>
                          </a:path>
                        </a:pathLst>
                      </a:custGeom>
                      <a:solidFill>
                        <a:srgbClr val="5261a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00" w:after="20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Irish Life Assurance plc is regulated by the Central Bank of Ireland. </w:t>
                            <w:tab/>
                            <w:tab/>
                            <w:tab/>
                            <w:tab/>
                            <w:t>1</w:t>
                          </w:r>
                          <w:r>
                            <w:rPr>
                              <w:color w:val="FFFFFF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color w:val="FFFFFF"/>
                            </w:rPr>
                            <w:t xml:space="preserve"> April 2020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drawing>
        <wp:inline distT="0" distB="635" distL="0" distR="0">
          <wp:extent cx="1264920" cy="51371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1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I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67ef"/>
    <w:pPr>
      <w:widowControl/>
      <w:bidi w:val="0"/>
      <w:spacing w:lineRule="auto" w:line="276" w:before="20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0"/>
      <w:lang w:val="en-IE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7e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7e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7e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e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7ef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7ef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7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7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7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ac67ef"/>
    <w:rPr>
      <w:caps/>
      <w:color w:val="FFFFFF" w:themeColor="background1"/>
      <w:spacing w:val="15"/>
      <w:shd w:fill="4F81BD" w:val="clear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c67ef"/>
    <w:rPr>
      <w:caps/>
      <w:spacing w:val="15"/>
      <w:shd w:fill="DBE5F1" w:val="clea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ac67ef"/>
    <w:rPr>
      <w:caps/>
      <w:color w:val="243F60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c67ef"/>
    <w:rPr>
      <w:caps/>
      <w:color w:val="365F91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ac67ef"/>
    <w:rPr>
      <w:caps/>
      <w:color w:val="365F91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ac67ef"/>
    <w:rPr>
      <w:caps/>
      <w:color w:val="365F91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ac67ef"/>
    <w:rPr>
      <w:caps/>
      <w:color w:val="365F91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ac67ef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ac67ef"/>
    <w:rPr>
      <w:i/>
      <w:caps/>
      <w:spacing w:val="10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qFormat/>
    <w:rsid w:val="00ac67ef"/>
    <w:rPr>
      <w:caps/>
      <w:color w:val="4F81BD" w:themeColor="accent1"/>
      <w:spacing w:val="10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c67e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c67ef"/>
    <w:rPr>
      <w:b/>
      <w:bCs/>
    </w:rPr>
  </w:style>
  <w:style w:type="character" w:styleId="Emphasis">
    <w:name w:val="Emphasis"/>
    <w:uiPriority w:val="20"/>
    <w:qFormat/>
    <w:rsid w:val="00ac67ef"/>
    <w:rPr>
      <w:caps/>
      <w:color w:val="243F60" w:themeColor="accent1" w:themeShade="7f"/>
      <w:spacing w:val="5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ac67ef"/>
    <w:rPr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ac67ef"/>
    <w:rPr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c67e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c67e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c67e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c67e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c67e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c67ef"/>
    <w:rPr>
      <w:b/>
      <w:bCs/>
      <w:i/>
      <w:iCs/>
      <w:spacing w:val="9"/>
    </w:rPr>
  </w:style>
  <w:style w:type="character" w:styleId="InternetLink">
    <w:name w:val="Internet Link"/>
    <w:basedOn w:val="DefaultParagraphFont"/>
    <w:uiPriority w:val="99"/>
    <w:semiHidden/>
    <w:unhideWhenUsed/>
    <w:rsid w:val="00100aaf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7513b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11564"/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11564"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ac67ef"/>
    <w:pPr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67ef"/>
    <w:pPr>
      <w:spacing w:before="720" w:after="200"/>
    </w:pPr>
    <w:rPr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7ef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7ef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ac67ef"/>
    <w:pPr>
      <w:spacing w:before="20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ac67ef"/>
    <w:pPr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7ef"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7ef"/>
    <w:pPr>
      <w:shd w:fill="4F81BD" w:val="clear"/>
    </w:pPr>
    <w:rPr>
      <w:lang w:bidi="en-US"/>
    </w:rPr>
  </w:style>
  <w:style w:type="paragraph" w:styleId="NormalWeb">
    <w:name w:val="Normal (Web)"/>
    <w:basedOn w:val="Normal"/>
    <w:uiPriority w:val="99"/>
    <w:unhideWhenUsed/>
    <w:qFormat/>
    <w:rsid w:val="00100a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51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56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1156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37176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909E-EE7D-488F-9343-57B9DA2D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LibreOffice/5.2.6.2$Windows_x86 LibreOffice_project/a3100ed2409ebf1c212f5048fbe377c281438fdc</Application>
  <Pages>1</Pages>
  <Words>247</Words>
  <Characters>1129</Characters>
  <CharactersWithSpaces>1288</CharactersWithSpaces>
  <Paragraphs>118</Paragraphs>
  <Company>Irish Life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2020-03-20T14:38:00Z</dcterms:created>
  <dc:creator>Cregan, Mary</dc:creator>
  <dc:description/>
  <dc:language>en-IE</dc:language>
  <cp:lastModifiedBy>DIFFLEY, FIONA</cp:lastModifiedBy>
  <cp:lastPrinted>2020-03-19T16:42:00Z</cp:lastPrinted>
  <dcterms:modified xsi:type="dcterms:W3CDTF">2020-03-23T16:15:00Z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Irish Life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